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StBerG — Zustellung des Beschlusses</w:t>
      </w:r>
    </w:p>
    <w:p>
      <w:r>
        <w:rPr>
          <w:color w:val="555555"/>
          <w:sz w:val="18"/>
        </w:rPr>
        <w:t xml:space="preserve">Steuerberatungsgesetz</w:t>
      </w:r>
    </w:p>
    <w:p>
      <w:r>
        <w:rPr>
          <w:color w:val="555555"/>
          <w:sz w:val="18"/>
        </w:rPr>
        <w:t xml:space="preserve">Stand: 01.08.2022 (konsolidierte Textfassung, kein amtliches Inkrafttretensdatum)</w:t>
      </w:r>
    </w:p>
    <w:p>
      <w:r>
        <w:t xml:space="preserve">Der Beschluß ist mit Gründen zu versehen. Er ist dem Mitglied der Steuerberaterkammer zuzustellen. War das Mitglied der Steuerberaterkammer bei der Verkündung des Beschlusses nicht anwesend, ist ihm unverzüglich nach der Verkündung zusätzlich der Beschluss ohne Gründe zuzustellen.</w:t>
      </w:r>
    </w:p>
    <w:p>
      <w:r>
        <w:rPr>
          <w:color w:val="555555"/>
          <w:sz w:val="17"/>
        </w:rPr>
        <w:t xml:space="preserve">Zitiervorschlag: § 138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