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 StBerG — Mündliche Verhandlung</w:t>
      </w:r>
    </w:p>
    <w:p>
      <w:r>
        <w:rPr>
          <w:color w:val="555555"/>
          <w:sz w:val="18"/>
        </w:rPr>
        <w:t xml:space="preserve">Steuerberatungsgesetz</w:t>
      </w:r>
    </w:p>
    <w:p>
      <w:r>
        <w:rPr>
          <w:color w:val="555555"/>
          <w:sz w:val="18"/>
        </w:rPr>
        <w:t xml:space="preserve">Stand: 24.03.2023 (konsolidierte Textfassung, kein amtliches Inkrafttretensdatum)</w:t>
      </w:r>
    </w:p>
    <w:p>
      <w:r>
        <w:t xml:space="preserve">(1) Der Beschluß, durch den ein Berufs- oder Vertretungsverbot verhängt wird, kann nur auf Grund mündlicher Verhandlung ergehen.</w:t>
      </w:r>
    </w:p>
    <w:p>
      <w:r>
        <w:t xml:space="preserve">(2) Auf die Besetzung des Gerichts, die Ladung und die mündliche Verhandlung sind die Vorschriften entsprechend anzuwenden, die für die Hauptverhandlung vor dem erkennenden Gericht maßgebend sind, soweit sich nicht aus den folgenden Vorschriften etwas anderes ergibt.</w:t>
      </w:r>
    </w:p>
    <w:p>
      <w:r>
        <w:t xml:space="preserve">(3) In der Ladung ist die dem Mitglied der Steuerberaterkammer zur Last gelegte Pflichtverletzung durch Anführung der sie begründenden Tatsachen zu bezeichnen; ferner sind die Beweismittel anzugeben. Dies ist jedoch nicht erforderlich, wenn dem Mitglied der Steuerberaterkammer die Anschuldigungsschrift bereits mitgeteilt worden ist.</w:t>
      </w:r>
    </w:p>
    <w:p>
      <w:r>
        <w:t xml:space="preserve">(4) Den Umfang der Beweisaufnahme bestimmt das Gericht nach pflichtmäßigem Ermessen, ohne an Anträge der Staatsanwaltschaft oder des Mitglieds der Steuerberaterkammer gebunden zu sein.</w:t>
      </w:r>
    </w:p>
    <w:p>
      <w:r>
        <w:rPr>
          <w:color w:val="555555"/>
          <w:sz w:val="17"/>
        </w:rPr>
        <w:t xml:space="preserve">Zitiervorschlag: § 135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