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StBerG — Verfahren</w:t>
      </w:r>
    </w:p>
    <w:p>
      <w:r>
        <w:rPr>
          <w:color w:val="555555"/>
          <w:sz w:val="18"/>
        </w:rPr>
        <w:t xml:space="preserve">Steuerberatungsgesetz</w:t>
      </w:r>
    </w:p>
    <w:p>
      <w:r>
        <w:rPr>
          <w:color w:val="555555"/>
          <w:sz w:val="18"/>
        </w:rPr>
        <w:t xml:space="preserve">Stand: 01.08.2022 (konsolidierte Textfassung, kein amtliches Inkrafttretensdatum)</w:t>
      </w:r>
    </w:p>
    <w:p>
      <w:r>
        <w:t xml:space="preserve">(1) Die Kammer für Steuerberater- und Steuerbevollmächtigtensachen beim Landgericht hat von Amts wegen alle Beweise zu erheben, die eine Entscheidung darüber begründen können, ob das eingestellte Verfahren zur Ausschließung aus dem Beruf oder Aberkennung der Befugnis zur geschäftsmäßigen Hilfeleistung in Steuersachen geführt hätte. Den Umfang des Verfahrens bestimmt die Kammer für Steuerberater- und Steuerbevollmächtigtensachen nach pflichtmäßigem Ermessen, ohne an Anträge gebunden zu sein; ihre Verfügungen können insoweit nicht angefochten werden.</w:t>
      </w:r>
    </w:p>
    <w:p>
      <w:r>
        <w:t xml:space="preserve">(2) Zeugen sind, soweit nicht Ausnahmen vorgeschrieben oder zugelassen sind, eidlich zu vernehmen.</w:t>
      </w:r>
    </w:p>
    <w:p>
      <w:r>
        <w:t xml:space="preserve">(3) Die Staatsanwaltschaft und das frühere Mitglied der Steuerberaterkammer sind an dem Verfahren zu beteiligen. Ein Anspruch auf Benachrichtigung von den Terminen, die zum Zwecke der Beweissicherung anberaumt werden, steht dem früheren Mitglied der Steuerberaterkammer nur zu, wenn es sich im Inland aufhält und seine Anschrift dem Landgericht angezeigt hat.</w:t>
      </w:r>
    </w:p>
    <w:p>
      <w:r>
        <w:rPr>
          <w:color w:val="555555"/>
          <w:sz w:val="17"/>
        </w:rPr>
        <w:t xml:space="preserve">Zitiervorschlag: § 133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