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StBerG — Anordnung der Beweissicherung</w:t>
      </w:r>
    </w:p>
    <w:p>
      <w:r>
        <w:rPr>
          <w:color w:val="555555"/>
          <w:sz w:val="18"/>
        </w:rPr>
        <w:t xml:space="preserve">Steuerberatungsgesetz</w:t>
      </w:r>
    </w:p>
    <w:p>
      <w:r>
        <w:rPr>
          <w:color w:val="555555"/>
          <w:sz w:val="18"/>
        </w:rPr>
        <w:t xml:space="preserve">Stand: 01.08.2022 (konsolidierte Textfassung, kein amtliches Inkrafttretensdatum)</w:t>
      </w:r>
    </w:p>
    <w:p>
      <w:r>
        <w:t xml:space="preserve">(1) Wird ein berufsgerichtliches Verfahren gegen ein Mitglied der Steuerberaterkammer eingestellt, weil seine Bestellung zum Steuerberater oder die Anerkennung als Berufsausübungsgesellschaft erloschen, zurückgenommen oder widerrufen ist, so kann in der Entscheidung auf Antrag der Staatsanwaltschaft zugleich die Sicherung der Beweise angeordnet werden, wenn dringende Gründe für die Annahme vorhanden sind, dass auf Ausschließung aus dem Beruf oder auf Aberkennung der Befugnis zur geschäftsmäßigen Hilfeleistung in Steuersachen erkannt worden wäre. Die Anordnung kann nicht angefochten werden.</w:t>
      </w:r>
    </w:p>
    <w:p>
      <w:r>
        <w:t xml:space="preserve">(2) Die Beweise werden von der Kammer für Steuerberater- und Steuerbevollmächtigtensachen beim Landgericht aufgenommen. Die Kammer für Steuerberater- und Steuerbevollmächtigtensachen kann eines ihrer berufsrichterlichen Mitglieder mit der Beweisaufnahme beauftragen.</w:t>
      </w:r>
    </w:p>
    <w:p>
      <w:r>
        <w:rPr>
          <w:color w:val="555555"/>
          <w:sz w:val="17"/>
        </w:rPr>
        <w:t xml:space="preserve">Zitiervorschlag: § 132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