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StBerG — Entscheidung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Hauptverhandlung schließt mit der auf die Beratung folgenden Verkündung des Urteils.</w:t>
      </w:r>
    </w:p>
    <w:p>
      <w:r>
        <w:t xml:space="preserve">(2) Das Urteil lautet auf Freisprechung, Verurteilung oder Einstellung des Verfahrens.</w:t>
      </w:r>
    </w:p>
    <w:p>
      <w:r>
        <w:t xml:space="preserve">(3) Das berufsgerichtliche Verfahren ist, abgesehen von dem Fall des § 260 Abs. 3 der Strafprozeßordnung, einzustellen</w:t>
      </w:r>
    </w:p>
    <w:p>
      <w:pPr>
        <w:ind w:left="420"/>
      </w:pPr>
      <w:r>
        <w:t xml:space="preserve">1. wenn die Bestellung zum Steuerberater oder die Anerkennung als Berufsausübungsgesellschaft erloschen, zurückgenommen oder widerrufen ist;</w:t>
      </w:r>
    </w:p>
    <w:p>
      <w:pPr>
        <w:ind w:left="420"/>
      </w:pPr>
      <w:r>
        <w:t xml:space="preserve">2. wenn nach § 92 von einer berufsgerichtlichen Ahndung abzusehen ist.</w:t>
      </w:r>
    </w:p>
    <w:p>
      <w:r>
        <w:rPr>
          <w:color w:val="555555"/>
          <w:sz w:val="17"/>
        </w:rPr>
        <w:t xml:space="preserve">Zitiervorschlag: § 125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