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StBerG — Entscheidung über die Eröffnung des Hauptverfahrens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In dem Beschluß, durch den das Hauptverfahren eröffnet wird, läßt die Kammer für Steuerberater- und Steuerbevollmächtigtensachen beim Landgericht die Anschuldigung zur Hauptverhandlung zu.</w:t>
      </w:r>
    </w:p>
    <w:p>
      <w:r>
        <w:t xml:space="preserve">(2) Der Beschluß, durch den das Hauptverfahren eröffnet worden ist, kann von dem Mitglied der Steuerberaterkammer nicht angefochten werden.</w:t>
      </w:r>
    </w:p>
    <w:p>
      <w:r>
        <w:t xml:space="preserve">(3) Der Beschluß, durch den die Eröffnung des Hauptverfahrens abgelehnt wird, ist zu begründen. Gegen den Beschluß steht der Staatsanwaltschaft die sofortige Beschwerde zu.</w:t>
      </w:r>
    </w:p>
    <w:p>
      <w:r>
        <w:rPr>
          <w:color w:val="555555"/>
          <w:sz w:val="17"/>
        </w:rPr>
        <w:t xml:space="preserve">Zitiervorschlag: § 118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