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StBerG — Verarbeitung personenbezogener Daten</w:t>
      </w:r>
    </w:p>
    <w:p>
      <w:r>
        <w:rPr>
          <w:color w:val="555555"/>
          <w:sz w:val="18"/>
        </w:rPr>
        <w:t xml:space="preserve">Steuerberatungsgesetz</w:t>
      </w:r>
    </w:p>
    <w:p>
      <w:r>
        <w:rPr>
          <w:color w:val="555555"/>
          <w:sz w:val="18"/>
        </w:rPr>
        <w:t xml:space="preserve">Stand: 01.08.2021 (konsolidierte Textfassung, kein amtliches Inkrafttretensdatum)</w:t>
      </w:r>
    </w:p>
    <w:p>
      <w:r>
        <w:t xml:space="preserve">(1) Soweit es zur Erfüllung der Aufgaben nach diesem Gesetz erforderlich ist, dürfen personenbezogene Daten verarbeitet werden. Personenbezogene Daten dürfen auch für Zwecke künftiger Verfahren nach diesem Gesetz verarbeitet werden. Besondere Kategorien personenbezogener Daten gemäß Artikel 9 Absatz 1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dürfen gemäß Artikel 9 Absatz 2 Buchstabe g der Datenschutz-Grundverordnung (EU) 2016/679 in diesem Rahmen verarbeitet werden.</w:t>
      </w:r>
    </w:p>
    <w:p>
      <w:r>
        <w:t xml:space="preserve">(2) Die Verarbeitung personenbezogener Daten durch Personen und Gesellschaften nach § 3 erfolgt unter Beachtung der für sie geltenden Berufspflichten weisungsfrei. Die Personen und Gesellschaften nach § 3 sind bei Verarbeitung sämtlicher personenbezogener Daten ihrer Mandanten Verantwortliche gemäß Artikel 4 Nummer 7 der Datenschutz-Grundverordnung (EU) 2016/679. Besondere Kategorien personenbezogener Daten gemäß Artikel 9 Absatz 1 der Verordnung (EU) 2016/679 dürfen gemäß Artikel 9 Absatz 2 Buchstabe g der Datenschutz-Grundverordnung (EU) 2016/679 in diesem Rahmen verarbeitet werden.</w:t>
      </w:r>
    </w:p>
    <w:p>
      <w:r>
        <w:t xml:space="preserve">(3) § 30 der Abgabenordnung steht dem nicht entgegen.</w:t>
      </w:r>
    </w:p>
    <w:p>
      <w:r>
        <w:rPr>
          <w:color w:val="555555"/>
          <w:sz w:val="17"/>
        </w:rPr>
        <w:t xml:space="preserve">Zitiervorschlag: § 11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