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StBerG — Vorwarnmechanismus</w:t>
      </w:r>
    </w:p>
    <w:p>
      <w:r>
        <w:rPr>
          <w:color w:val="555555"/>
          <w:sz w:val="18"/>
        </w:rPr>
        <w:t xml:space="preserve">Steuerberatungsgesetz</w:t>
      </w:r>
    </w:p>
    <w:p>
      <w:r>
        <w:rPr>
          <w:color w:val="555555"/>
          <w:sz w:val="18"/>
        </w:rPr>
        <w:t xml:space="preserve">Stand: 10.06.2019 (konsolidierte Textfassung, kein amtliches Inkrafttretensdatum)</w:t>
      </w:r>
    </w:p>
    <w:p>
      <w:r>
        <w:t xml:space="preserve">(1) Wird bei einer Person, die die Anerkennung einer Berufsqualifikation nach der Richtlinie 2005/36/EG des Europäischen Parlaments und des Rates vom 7. September 2005 über die Anerkennung von Berufsqualifikationen (ABl. L 255 vom 30.9.2005, S. 22) in der jeweils geltenden Fassung beantragt hat, gerichtlich festgestellt, dass sie dabei gefälschte Berufsqualifikationsnachweise verwendet hat, unterrichtet die zuständige Steuerberaterkammer, soweit die Unterrichtung nicht bereits durch das zuständige Gericht erfolgt ist, die zuständigen Behörden der anderen Mitgliedstaaten der Europäischen Union, der anderen Vertragsstaaten des Abkommens über den Europäischen Wirtschaftsraum oder der Schweiz über die Identität dieser Person, insbesondere über Name, Vorname, Geburtsdatum und Geburtsort, und den Umstand, dass diese Person gefälschte Berufsqualifikationsnachweise verwendet hat (Warnmitteilung). Die Warnmitteilung erfolgt unverzüglich, spätestens jedoch drei Tage nach Unanfechtbarkeit der Feststellung.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zu übermitteln.</w:t>
      </w:r>
    </w:p>
    <w:p>
      <w:r>
        <w:t xml:space="preserve">(2) Zeitgleich mit der Warnmitteilung nach Absatz 1 Satz 1 unterrichtet die zuständige Stelle, die die Warnmitteilung getätigt hat, die betroffene Person über die Warnmitteilung und ihren Inhalt schriftlich unter Beifügung einer Rechtsbehelfsbelehrung. Wird ein Rechtsbehelf gegen die Warnmitteilung eingelegt, ergänzt die Stelle, die die Warnmitteilung getätigt hat, die Warnmitteilung um einen entsprechenden Hinweis.</w:t>
      </w:r>
    </w:p>
    <w:p>
      <w:r>
        <w:rPr>
          <w:color w:val="555555"/>
          <w:sz w:val="17"/>
        </w:rPr>
        <w:t xml:space="preserve">Zitiervorschlag: § 10b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