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StBerG — Akteneinsicht</w:t>
      </w:r>
    </w:p>
    <w:p>
      <w:r>
        <w:rPr>
          <w:color w:val="555555"/>
          <w:sz w:val="18"/>
        </w:rPr>
        <w:t xml:space="preserve">Steuerberatungsgesetz</w:t>
      </w:r>
    </w:p>
    <w:p>
      <w:r>
        <w:rPr>
          <w:color w:val="555555"/>
          <w:sz w:val="18"/>
        </w:rPr>
        <w:t xml:space="preserve">Stand: 01.08.2022 (konsolidierte Textfassung, kein amtliches Inkrafttretensdatum)</w:t>
      </w:r>
    </w:p>
    <w:p>
      <w:r>
        <w:t xml:space="preserve">Der Vorstand der Steuerberaterkammer und das Mitglied der Steuerberaterkammer sind befugt, die Akten, die dem Gericht vorliegen oder diesem im Falle der Einreichung einer Anschuldigungsschrift vorzulegen wären, einzusehen sowie amtlich verwahrte Beweisstücke zu besichtigen. § 147 Abs. 2 Satz 1, Abs. 3, 5 und 6 der Strafprozeßordnung ist insoweit entsprechend anzuwenden.</w:t>
      </w:r>
    </w:p>
    <w:p>
      <w:r>
        <w:rPr>
          <w:color w:val="555555"/>
          <w:sz w:val="17"/>
        </w:rPr>
        <w:t xml:space="preserve">Zitiervorschlag: § 108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