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StBerG — Verteidigung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Verteidigern im berufsgerichtlichen Verfahren vor dem Landgericht und vor dem Oberlandesgericht können außer den in § 138 Abs. 1 der Strafprozeßordnung genannten Personen auch Steuerberater oder Steuerbevollmächtigte gewählt werden.</w:t>
      </w:r>
    </w:p>
    <w:p>
      <w:r>
        <w:t xml:space="preserve">(2) § 140 Abs. 1 Nr. 1 bis 3, 6, 7 und 9 der Strafprozeßordnung ist auf die Verteidigung im berufsgerichtlichen Verfahren nicht anzuwenden.</w:t>
      </w:r>
    </w:p>
    <w:p>
      <w:r>
        <w:rPr>
          <w:color w:val="555555"/>
          <w:sz w:val="17"/>
        </w:rPr>
        <w:t xml:space="preserve">Zitiervorschlag: § 107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