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StBerG — Enthebung vom Amt des Beisitzers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Steuerberater oder Steuerbevollmächtigter ist in den Fällen der §§ 95 und 96 auf Antrag der für die Ernennung zuständigen Behörde, im Falle des § 97 auf Antrag des Bundesministeriums der Justiz und für Verbraucherschutz seines Amtes als Beisitzer zu entheben,</w:t>
      </w:r>
    </w:p>
    <w:p>
      <w:pPr>
        <w:ind w:left="420"/>
      </w:pPr>
      <w:r>
        <w:t xml:space="preserve">1. wenn nachträglich bekannt wird, daß er nicht hätte zum Beisitzer berufen werden dürfen;</w:t>
      </w:r>
    </w:p>
    <w:p>
      <w:pPr>
        <w:ind w:left="420"/>
      </w:pPr>
      <w:r>
        <w:t xml:space="preserve">2. wenn nachträglich ein Umstand eintritt, welcher der Berufung zum Beisitzer entgegensteht;</w:t>
      </w:r>
    </w:p>
    <w:p>
      <w:pPr>
        <w:ind w:left="420"/>
      </w:pPr>
      <w:r>
        <w:t xml:space="preserve">3. wenn der Steuerberater oder Steuerbevollmächtigte seine Amtspflicht als Beisitzer grob verletzt.</w:t>
      </w:r>
    </w:p>
    <w:p>
      <w:r>
        <w:t xml:space="preserve">(2) Über den Antrag entscheidet in den Fällen der §§ 95 und 96 ein Zivilsenat des Oberlandesgerichts, im Falle des § 97 ein Zivilsenat des Bundesgerichtshofs. Bei der Entscheidung dürfen die Mitglieder der Senate für Steuerberater- und Steuerbevollmächtigtensachen nicht mitwirken.</w:t>
      </w:r>
    </w:p>
    <w:p>
      <w:r>
        <w:t xml:space="preserve">(3) Vor der Entscheidung ist der Steuerberater oder Steuerbevollmächtigte zu hören.</w:t>
      </w:r>
    </w:p>
    <w:p>
      <w:r>
        <w:rPr>
          <w:color w:val="555555"/>
          <w:sz w:val="17"/>
        </w:rPr>
        <w:t xml:space="preserve">Zitiervorschlag: § 101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