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StBerG — Anwendungsbereich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ist anzuwenden auf die Hilfeleistung</w:t>
      </w:r>
    </w:p>
    <w:p>
      <w:pPr>
        <w:ind w:left="420"/>
      </w:pPr>
      <w:r>
        <w:t xml:space="preserve">1. in Angelegenheiten, die durch Bundesrecht, Recht der Europäischen Union oder der Vertragsstaaten des Abkommens über den Europäischen Wirtschaftsraum geregelte Steuern und Vergütungen betreffen, soweit diese durch Bundesfinanzbehörden oder durch Landesfinanzbehörden verwaltet werden,</w:t>
      </w:r>
    </w:p>
    <w:p>
      <w:pPr>
        <w:ind w:left="420"/>
      </w:pPr>
      <w:r>
        <w:t xml:space="preserve">2. in Angelegenheiten, die die Realsteuern oder die Grunderwerbsteuer betreffen,</w:t>
      </w:r>
    </w:p>
    <w:p>
      <w:pPr>
        <w:ind w:left="420"/>
      </w:pPr>
      <w:r>
        <w:t xml:space="preserve">3. in Angelegenheiten, die durch Landesrecht oder auf Grund einer landesrechtlichen Ermächtigung geregelte Steuern betreffen,</w:t>
      </w:r>
    </w:p>
    <w:p>
      <w:pPr>
        <w:ind w:left="420"/>
      </w:pPr>
      <w:r>
        <w:t xml:space="preserve">4. in Monopolsachen,</w:t>
      </w:r>
    </w:p>
    <w:p>
      <w:pPr>
        <w:ind w:left="420"/>
      </w:pPr>
      <w:r>
        <w:t xml:space="preserve">5. in sonstigen von Bundesfinanzbehörden oder Landesfinanzbehörden verwalteten Angelegenheiten, soweit für diese durch Bundesgesetz oder Landesgesetz der Finanzrechtsweg eröffnet ist.</w:t>
      </w:r>
    </w:p>
    <w:p>
      <w:r>
        <w:t xml:space="preserve">(2) Die Hilfeleistung in Steuersachen umfaßt auch</w:t>
      </w:r>
    </w:p>
    <w:p>
      <w:pPr>
        <w:ind w:left="420"/>
      </w:pPr>
      <w:r>
        <w:t xml:space="preserve">1. die Hilfeleistung in Steuerstrafsachen und in Bußgeldsachen wegen einer Steuerordnungswidrigkeit,</w:t>
      </w:r>
    </w:p>
    <w:p>
      <w:pPr>
        <w:ind w:left="420"/>
      </w:pPr>
      <w:r>
        <w:t xml:space="preserve">2. die Hilfeleistung bei der Führung von Büchern und Aufzeichnungen sowie bei der Aufstellung von Abschlüssen, die für die Besteuerung von Bedeutung sind,</w:t>
      </w:r>
    </w:p>
    <w:p>
      <w:pPr>
        <w:ind w:left="420"/>
      </w:pPr>
      <w:r>
        <w:t xml:space="preserve">3. die Hilfeleistung bei der Einziehung von Steuererstattungs- oder Vergütungsansprüchen.</w:t>
      </w:r>
    </w:p>
    <w:p>
      <w:r>
        <w:t xml:space="preserve">(3) Die Vorschriften der einzelnen Verfahrensordnungen über die Zulassung von Bevollmächtigten und Beiständen bleiben unberührt.</w:t>
      </w:r>
    </w:p>
    <w:p>
      <w:r>
        <w:t xml:space="preserve">(4) Das Berufsqualifikationsfeststellungsgesetz findet mit Ausnahme des § 17 keine Anwendung.</w:t>
      </w:r>
    </w:p>
    <w:p>
      <w:r>
        <w:rPr>
          <w:color w:val="555555"/>
          <w:sz w:val="17"/>
        </w:rPr>
        <w:t xml:space="preserve">Zitiervorschlag: § 1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