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StBerFAngEignV</w:t>
      </w:r>
    </w:p>
    <w:p>
      <w:r>
        <w:rPr>
          <w:color w:val="555555"/>
          <w:sz w:val="18"/>
        </w:rPr>
        <w:t xml:space="preserve">Verordnung über die fachliche Eignung für die Berufsausbildung der Fachangestellten im Bereich der Steuerberatung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 Abs. 4 Nr. 3 des Berufsbildungsgesetzes vom 23. März 2005 (BGBl. I S. 931) verordnet das Bundesministerium der Finanzen nach Anhörung des Hauptausschusses des Bundesinstituts für Berufsbildung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StBerFAngEignV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https://recht.nulegal.eu/gesetze/StBerFAngEignV/eingangsformel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