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StBPPV</w:t>
      </w:r>
    </w:p>
    <w:p>
      <w:r>
        <w:rPr>
          <w:color w:val="555555"/>
          <w:sz w:val="18"/>
        </w:rPr>
        <w:t xml:space="preserve">Steuerberaterplattform- und -postfachverordnung</w:t>
      </w:r>
    </w:p>
    <w:p>
      <w:r>
        <w:rPr>
          <w:color w:val="555555"/>
          <w:sz w:val="18"/>
        </w:rPr>
        <w:t xml:space="preserve">Stand: 01.01.2023 (konsolidierte Textfassung, kein amtliches Inkrafttretensdatum)</w:t>
      </w:r>
    </w:p>
    <w:p>
      <w:r>
        <w:t xml:space="preserve">Auf Grund des § 86f des Steuerberatungsgesetzes, der durch Artikel 4 Nummer 35 des Gesetzes vom 7. Juli 2021 (BGBl. I S. 2363) eingefügt worden ist, verordnet das Bundesministerium der Finanzen nach Anhörung der Bundessteuerberaterkammer:</w:t>
      </w:r>
    </w:p>
    <w:p>
      <w:r>
        <w:rPr>
          <w:color w:val="555555"/>
          <w:sz w:val="17"/>
        </w:rPr>
        <w:t xml:space="preserve">Zitiervorschlag: Eingangsformel StBPPV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https://recht.nulegal.eu/gesetze/StBPPV/eingangsformel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