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StBPPV — Registrierung bei der Steuerberaterplattform und Erstanmeldung am besonderen elektronischen Steuerberaterpostfach</w:t>
      </w:r>
    </w:p>
    <w:p>
      <w:r>
        <w:rPr>
          <w:color w:val="555555"/>
          <w:sz w:val="18"/>
        </w:rPr>
        <w:t xml:space="preserve">Steuerberaterplattform- und -postfachverordnung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Registrierung bei der Steuerberaterplattform und die Erstanmeldung am besonderen elektronischen Steuerberaterpostfach nach § 15 erfolgen in einem einheitlichen Vorgang.</w:t>
      </w:r>
    </w:p>
    <w:p>
      <w:r>
        <w:t xml:space="preserve">(2) Für die Registrierung bei der Steuerberaterplattform ist eine Identifizierung und Authentisierung erforderlich.</w:t>
      </w:r>
    </w:p>
    <w:p>
      <w:r>
        <w:rPr>
          <w:color w:val="555555"/>
          <w:sz w:val="17"/>
        </w:rPr>
        <w:t xml:space="preserve">Zitiervorschlag: § 3 StBPPV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https://recht.nulegal.eu/gesetze/StBPPV/3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