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StBPPV — Automatisches Löschen von Nachrichten</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Noch nicht abgerufene Nachrichten dürfen frühestens 90 Tage nach ihrem Eingang automatisch in den Papierkorb des besonderen elektronischen Steuerberaterpostfachs verschoben werden. Abgerufene Nachrichten dürfen frühestens sieben Tage nach ihrem Abruf automatisch in den Papierkorb des besonderen elektronischen Steuerberaterpostfachs verschoben werden.</w:t>
      </w:r>
    </w:p>
    <w:p>
      <w:r>
        <w:t xml:space="preserve">(2) Im Papierkorb des besonderen elektronischen Steuerberaterpostfachs befindliche Nachrichten dürfen frühestens nach 30 Tagen automatisch gelöscht werden.</w:t>
      </w:r>
    </w:p>
    <w:p>
      <w:r>
        <w:rPr>
          <w:color w:val="555555"/>
          <w:sz w:val="17"/>
        </w:rPr>
        <w:t xml:space="preserve">Zitiervorschlag: § 21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