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StBPPV — Datensicherheit; unbefugter Zugriff</w:t>
      </w:r>
    </w:p>
    <w:p>
      <w:r>
        <w:rPr>
          <w:color w:val="555555"/>
          <w:sz w:val="18"/>
        </w:rPr>
        <w:t xml:space="preserve">Steuerberaterplattform- und -postfachverordnung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Postfachinhaber darf den von ihm erzeugten privaten Schlüssel keiner unbefugten Person weitergeben und hat das dem privaten Schlüssel zugehörige Zertifikats-Passwort geheim zu halten.</w:t>
      </w:r>
    </w:p>
    <w:p>
      <w:r>
        <w:t xml:space="preserve">(2) Zugangsberechtigte, an die der private Schlüssel weitergegeben wird, dürfen diesen ihrerseits nicht weitergeben. Der Postfachinhaber hat diejenigen Personen, denen er seinen privaten Schlüssel überlässt, hierüber zu belehren.</w:t>
      </w:r>
    </w:p>
    <w:p>
      <w:r>
        <w:t xml:space="preserve">(3) Der Postfachinhaber hat unverzüglich alle erforderlichen Maßnahmen zu ergreifen, um einen unbefugten Zugriff auf sein Postfach zu verhindern, sofern Anhaltspunkte dafür bestehen, dass</w:t>
      </w:r>
    </w:p>
    <w:p>
      <w:pPr>
        <w:ind w:left="420"/>
      </w:pPr>
      <w:r>
        <w:t xml:space="preserve">1. der von ihm erzeugte private Schlüssel in den Besitz einer unbefugten Person gelangt ist,</w:t>
      </w:r>
    </w:p>
    <w:p>
      <w:pPr>
        <w:ind w:left="420"/>
      </w:pPr>
      <w:r>
        <w:t xml:space="preserve">2. das dem privaten Schlüssel zugehörige Zertifikats-Passwort einer unbefugten Person bekannt geworden ist oder</w:t>
      </w:r>
    </w:p>
    <w:p>
      <w:pPr>
        <w:ind w:left="420"/>
      </w:pPr>
      <w:r>
        <w:t xml:space="preserve">3. sonst von einer Person auf das besondere elektronische Steuerberaterpostfach unbefugt zugegriffen werden könnte.</w:t>
      </w:r>
    </w:p>
    <w:p>
      <w:r>
        <w:t xml:space="preserve">Eine Maßnahme nach Satz 1 kann insbesondere die Beantragung der Sperrung des Postfachs bei der Bundessteuerberaterkammer sein.</w:t>
      </w:r>
    </w:p>
    <w:p>
      <w:r>
        <w:t xml:space="preserve">(4) § 8 Absatz 3 gilt entsprechend.</w:t>
      </w:r>
    </w:p>
    <w:p>
      <w:r>
        <w:rPr>
          <w:color w:val="555555"/>
          <w:sz w:val="17"/>
        </w:rPr>
        <w:t xml:space="preserve">Zitiervorschlag: § 20 StBPPV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https://recht.nulegal.eu/gesetze/StBPPV/20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