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StBPPV — Zugangsberechtigung für die besonderen elektronischen Steuerberaterpostfächer der Steuerberaterkammern und der Bundessteuerberaterkammer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Steuerberaterkammern und die Bundessteuerberaterkammer bestimmen die natürlichen Personen, die Zugang zu ihrem besonderen elektronischen Steuerberaterpostfach erhalten sollen, und stellen diesen Personen den privaten Schlüssel und das Zertifikats-Passwort zur Verfügung.</w:t>
      </w:r>
    </w:p>
    <w:p>
      <w:r>
        <w:t xml:space="preserve">(2) Der Zugang zu den besonderen elektronischen Steuerberaterpostfächern der Steuerberaterkammern und der Bundessteuerberaterkammer erfolgt ausschließlich mithilfe des privaten Schlüssels und des Zertifikats-Passworts des Postfachinhabers. § 16 Absatz 1 Satz 2 und Absatz 3 bis 5 gilt entsprechend.</w:t>
      </w:r>
    </w:p>
    <w:p>
      <w:r>
        <w:rPr>
          <w:color w:val="555555"/>
          <w:sz w:val="17"/>
        </w:rPr>
        <w:t xml:space="preserve">Zitiervorschlag: § 17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