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StBPPV — Führung der besonderen elektronischen Steuerberaterpostfächer</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Die Bundessteuerberaterkammer hat die besonderen elektronischen Steuerberaterpostfächer auf der Grundlage des Protokollstandards „Online Services Computer Interface – OSCI“ oder eines künftig nach dem Stand der Technik an dessen Stelle tretenden Standards zu betreiben. Die Bundessteuerberaterkammer hat fortlaufend zu gewährleisten, dass die in § 11 Absatz 1 und 3 genannten Personen und Stellen miteinander sicher elektronisch kommunizieren können.</w:t>
      </w:r>
    </w:p>
    <w:p>
      <w:r>
        <w:t xml:space="preserve">(2) Der Zugang zum besonderen elektronischen Steuerberaterpostfach soll barrierefrei im Sinne der Barrierefreie-Informationstechnik-Verordnung sein.</w:t>
      </w:r>
    </w:p>
    <w:p>
      <w:r>
        <w:t xml:space="preserve">(3) Die Bundessteuerberaterkammer hat zu gewährleisten, dass</w:t>
      </w:r>
    </w:p>
    <w:p>
      <w:pPr>
        <w:ind w:left="420"/>
      </w:pPr>
      <w:r>
        <w:t xml:space="preserve">1. bei der Übermittlung eines Dokuments mit einer nicht-qualifizierten elektronischen Signatur auf einem sicheren Übermittlungsweg durch einen Steuerberater oder Steuerbevollmächtigten für den Empfänger feststellbar ist, dass die Nachricht von dem Steuerberater oder Steuerbevollmächtigten selbst versandt worden ist,</w:t>
      </w:r>
    </w:p>
    <w:p>
      <w:pPr>
        <w:ind w:left="420"/>
      </w:pPr>
      <w:r>
        <w:t xml:space="preserve">2. bei der Übermittlung eines Dokuments mit einer nicht-qualifizierten elektronischen Signatur auf einem sicheren Übermittlungsweg durch eine Berufsausübungsgesellschaft für den Empfänger feststellbar ist, dass die Nachricht durch einen Steuerberater, Steuerbevollmächtigten, Rechtsanwalt, Patentanwalt, Wirtschaftsprüfer oder vereidigten Buchprüfer versandt worden ist, der zur Vertretung der Berufsausübungsgesellschaft berechtigt ist, und</w:t>
      </w:r>
    </w:p>
    <w:p>
      <w:pPr>
        <w:ind w:left="420"/>
      </w:pPr>
      <w:r>
        <w:t xml:space="preserve">3. die besonderen elektronischen Steuerberaterpostfächer in ein Informationssicherheitsmanagementsystem eingebunden sind, das den Standards des Bundesamts für Sicherheit in der Informationstechnik entspricht, wobei sie insbesondere die aktuellen Standards der Informationssicherheit, der Betriebssicherheit, der Kryptographie einschließlich des Schlüsselmanagements sowie der Vorfalls- und Management-Anforderungen einzuhalten und die Vorgaben der Technischen Richtlinie BSI TR-03116-4 des Bundesamts für Sicherheit in der Informationstechnik in der jeweils geltenden Fassung zu beachten hat.</w:t>
      </w:r>
    </w:p>
    <w:p>
      <w:r>
        <w:t xml:space="preserve">(4) § 1 Absatz 3 gilt entsprechend.</w:t>
      </w:r>
    </w:p>
    <w:p>
      <w:r>
        <w:rPr>
          <w:color w:val="555555"/>
          <w:sz w:val="17"/>
        </w:rPr>
        <w:t xml:space="preserve">Zitiervorschlag: § 13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