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StBGebV — Berechnung der Vergütung bei Änderungen dieser Verordnung</w:t>
      </w:r>
    </w:p>
    <w:p>
      <w:r>
        <w:rPr>
          <w:color w:val="555555"/>
          <w:sz w:val="18"/>
        </w:rPr>
        <w:t xml:space="preserve">Steuerberatervergütungsverordnung</w:t>
      </w:r>
    </w:p>
    <w:p>
      <w:r>
        <w:rPr>
          <w:color w:val="555555"/>
          <w:sz w:val="18"/>
        </w:rPr>
        <w:t xml:space="preserve">Stand: 01.07.2025 (konsolidierte Textfassung, kein amtliches Inkrafttretensdatum)</w:t>
      </w:r>
    </w:p>
    <w:p>
      <w:r>
        <w:t xml:space="preserve">Die Vergütung ist nach bisherigem Recht zu berechnen, wenn der Auftrag zur Erledigung der Angelegenheit vor dem Inkrafttreten einer Änderung dieser Verordnung erteilt worden ist. Hat der Steuerberater mit dem Auftraggeber in Textform eine Vereinbarung über auszuführende Tätigkeiten mit einer Geltungsdauer von mindestens einem Jahr getroffen und tritt während der Geltungsdauer dieser Vereinbarung eine Änderung dieser Verordnung in Kraft, so ist die Vergütung abweichend von Satz 1 nur bis zum Ablauf des Jahres, in dem die Änderung der Verordnung in Kraft getreten ist, nach bisherigem Recht zu berechnen. Die Sätze 1 und 2 gelten auch, wenn Vorschriften geändert werden, auf die diese Verordnung verweist.</w:t>
      </w:r>
    </w:p>
    <w:p>
      <w:r>
        <w:rPr>
          <w:color w:val="555555"/>
          <w:sz w:val="17"/>
        </w:rPr>
        <w:t xml:space="preserve">Zitiervorschlag: § 41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