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StBGebV — Anwendung des Rechtsanwaltsvergütungsgesetzes</w:t>
      </w:r>
    </w:p>
    <w:p>
      <w:r>
        <w:rPr>
          <w:color w:val="555555"/>
          <w:sz w:val="18"/>
        </w:rPr>
        <w:t xml:space="preserve">Steuerberatervergütungsverordnung</w:t>
      </w:r>
    </w:p>
    <w:p>
      <w:r>
        <w:rPr>
          <w:color w:val="555555"/>
          <w:sz w:val="18"/>
        </w:rPr>
        <w:t xml:space="preserve">Stand: 01.07.2025 (konsolidierte Textfassung, kein amtliches Inkrafttretensdatum)</w:t>
      </w:r>
    </w:p>
    <w:p>
      <w:r>
        <w:t xml:space="preserve">Die Vorschriften des Rechtsanwaltsvergütungsgesetzes finden auf die Vergütung von Steuerberatern für die Vertretung in außergerichtlichen Rechtsbehelfsverfahren vor den Verwaltungsbehörden, in Verwaltungsvollstreckungsverfahren, in Verfahren vor den Gerichten der Finanzgerichtsbarkeit, der Sozialgerichtsbarkeit und der Verwaltungsgerichtsbarkeit, in Strafverfahren, in berufsgerichtlichen Verfahren, in Bußgeldverfahren und in Gnadensachen sinngemäße Anwendung. Dies gilt auch für die Vergütung des im Wege der Prozesskostenhilfe beigeordneten Steuerberaters.</w:t>
      </w:r>
    </w:p>
    <w:p>
      <w:r>
        <w:rPr>
          <w:color w:val="555555"/>
          <w:sz w:val="17"/>
        </w:rPr>
        <w:t xml:space="preserve">Zitiervorschlag: § 40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