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StBGebV — Vergütungsvereinbarung</w:t>
      </w:r>
    </w:p>
    <w:p>
      <w:r>
        <w:rPr>
          <w:color w:val="555555"/>
          <w:sz w:val="18"/>
        </w:rPr>
        <w:t xml:space="preserve">Steuerberatervergütungsverordnung</w:t>
      </w:r>
    </w:p>
    <w:p>
      <w:r>
        <w:rPr>
          <w:color w:val="555555"/>
          <w:sz w:val="18"/>
        </w:rPr>
        <w:t xml:space="preserve">Stand: 01.07.2025 (konsolidierte Textfassung, kein amtliches Inkrafttretensdatum)</w:t>
      </w:r>
    </w:p>
    <w:p>
      <w:r>
        <w:t xml:space="preserve">(1) Eine Vereinbarung über die Vergütung bedarf der Textform. Sie muss als Vergütungsvereinbarung oder in vergleichbarer Weise bezeichnet werden, von anderen Vereinbarungen mit Ausnahme der Auftragserteilung deutlich abgesetzt sein und darf nicht in der Vollmacht enthalten sein. Art und Umfang des Auftrags nach Satz 2 sind zu bezeichnen. Hat der Auftraggeber freiwillig und ohne Vorbehalt geleistet, kann er das Geleistete nicht deshalb zurückfordern, weil seine Erklärung den Vorschriften der Sätze 1 bis 3 nicht entspricht.</w:t>
      </w:r>
    </w:p>
    <w:p>
      <w:r>
        <w:t xml:space="preserve">(2) Ist eine vereinbarte Vergütung unter Berücksichtigung aller Umstände unangemessen hoch, so kann sie im Rechtsstreit auf den angemessenen Betrag bis zur Höhe der sich aus dieser Verordnung ergebenden Vergütung herabgesetzt werden.</w:t>
      </w:r>
    </w:p>
    <w:p>
      <w:r>
        <w:t xml:space="preserve">(3) Der Steuerberater hat den Auftraggeber in Textform darauf hinzuweisen, dass eine höhere oder niedrigere als die gesetzliche Vergütung in Textform vereinbart werden kann.</w:t>
      </w:r>
    </w:p>
    <w:p>
      <w:r>
        <w:rPr>
          <w:color w:val="555555"/>
          <w:sz w:val="17"/>
        </w:rPr>
        <w:t xml:space="preserve">Zitiervorschlag: § 4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