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StBGebV — Vermögensstatus, Finanzstatus für steuerliche Zwecke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Gebühr beträgt für</w:t>
      </w:r>
    </w:p>
    <w:p>
      <w:r>
        <w:rPr>
          <w:rFonts w:ascii="Courier New" w:hAnsi="Courier New"/>
          <w:sz w:val="17"/>
        </w:rPr>
        <w:t xml:space="preserve">1.    die Erstellung eines Vermögensstatus oder Finanzstatus    5/10 bis 15/10</w:t>
      </w:r>
    </w:p>
    <w:p>
      <w:r>
        <w:rPr>
          <w:rFonts w:ascii="Courier New" w:hAnsi="Courier New"/>
          <w:sz w:val="17"/>
        </w:rPr>
        <w:t xml:space="preserve">2.    die Erstellung eines Vermögensstatus oder Finanzstatus aus übergebenen Endzahlen (ohne Vornahme von Prüfungsarbeiten)    2/10 bis 6/10</w:t>
      </w:r>
    </w:p>
    <w:p>
      <w:r>
        <w:rPr>
          <w:rFonts w:ascii="Courier New" w:hAnsi="Courier New"/>
          <w:sz w:val="17"/>
        </w:rPr>
        <w:t xml:space="preserve">3.    den schriftlichen Erläuterungsbericht zu den Tätigkeiten nach Nummer 1    1/10 bis 6/10</w:t>
      </w:r>
    </w:p>
    <w:p>
      <w:r>
        <w:t xml:space="preserve">einer vollen Gebühr nach Tabelle B (Anlage 2). Gegenstandswert ist für die Erstellung eines Vermögensstatus die Summe der Vermögenswerte, für die Erstellung eines Finanzstatus die Summe der Finanzwerte.</w:t>
      </w:r>
    </w:p>
    <w:p>
      <w:r>
        <w:rPr>
          <w:color w:val="555555"/>
          <w:sz w:val="17"/>
        </w:rPr>
        <w:t xml:space="preserve">Zitiervorschlag: § 37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