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StBGebV — Steuerliches Revisionswesen</w:t>
      </w:r>
    </w:p>
    <w:p>
      <w:r>
        <w:rPr>
          <w:color w:val="555555"/>
          <w:sz w:val="18"/>
        </w:rPr>
        <w:t xml:space="preserve">Steuerberatervergütungsverordnung</w:t>
      </w:r>
    </w:p>
    <w:p>
      <w:r>
        <w:rPr>
          <w:color w:val="555555"/>
          <w:sz w:val="18"/>
        </w:rPr>
        <w:t xml:space="preserve">Stand: 10.06.2019 (konsolidierte Textfassung, kein amtliches Inkrafttretensdatum)</w:t>
      </w:r>
    </w:p>
    <w:p>
      <w:r>
        <w:t xml:space="preserve">(1) Der Steuerberater erhält für die Prüfung einer Buchführung, einzelner Konten, einzelner Posten des Jahresabschlusses, eines Inventars, einer Überschussrechnung oder von Bescheinigungen für steuerliche Zwecke und für die Berichterstattung hierüber die Zeitgebühr.</w:t>
      </w:r>
    </w:p>
    <w:p>
      <w:r>
        <w:t xml:space="preserve">(2) Der Steuerberater erhält</w:t>
      </w:r>
    </w:p>
    <w:p>
      <w:pPr>
        <w:ind w:left="420"/>
      </w:pPr>
      <w:r>
        <w:t xml:space="preserve">1. für die Prüfung einer Bilanz, einer Gewinn- und Verlustrechnung, eines Anhangs, eines Lageberichts oder einer sonstigen Vermögensrechnung für steuerliche Zwecke 2/10 bis 10/10 einer vollen Gebühr nach Tabelle B (Anlage 2) sowie die Zeitgebühr; der Gegenstandswert bemisst sich nach § 35 Absatz 2;</w:t>
      </w:r>
    </w:p>
    <w:p>
      <w:pPr>
        <w:ind w:left="420"/>
      </w:pPr>
      <w:r>
        <w:t xml:space="preserve">2. für die Berichterstattung über eine Tätigkeit nach Nummer 1 die Zeitgebühr.</w:t>
      </w:r>
    </w:p>
    <w:p>
      <w:r>
        <w:rPr>
          <w:color w:val="555555"/>
          <w:sz w:val="17"/>
        </w:rPr>
        <w:t xml:space="preserve">Zitiervorschlag: § 36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