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StBGebV — Auslagen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18.07.2025 (konsolidierte Textfassung, kein amtliches Inkrafttretensdatum)</w:t>
      </w:r>
    </w:p>
    <w:p>
      <w:r>
        <w:t xml:space="preserve">Mit den Gebühren werden auch die allgemeinen Geschäftskosten entgolten. Soweit im Dritten Abschnitt nichts anderes bestimmt ist, kann der Steuerberater Ersatz der entstandenen Aufwendungen (§ 675 in Verbindung mit § 670 des Bürgerlichen Gesetzbuchs) verlangen.</w:t>
      </w:r>
    </w:p>
    <w:p>
      <w:r>
        <w:rPr>
          <w:color w:val="555555"/>
          <w:sz w:val="17"/>
        </w:rPr>
        <w:t xml:space="preserve">Zitiervorschlag: § 3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