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StBGebV — Teilnahme an Prüfungen und Nachschauen</w:t>
      </w:r>
    </w:p>
    <w:p>
      <w:r>
        <w:rPr>
          <w:color w:val="555555"/>
          <w:sz w:val="18"/>
        </w:rPr>
        <w:t xml:space="preserve">Steuerberatervergütungsverordnung</w:t>
      </w:r>
    </w:p>
    <w:p>
      <w:r>
        <w:rPr>
          <w:color w:val="555555"/>
          <w:sz w:val="18"/>
        </w:rPr>
        <w:t xml:space="preserve">Stand: 01.07.2020 (konsolidierte Textfassung, kein amtliches Inkrafttretensdatum)</w:t>
      </w:r>
    </w:p>
    <w:p>
      <w:r>
        <w:t xml:space="preserve">Der Steuerberater erhält</w:t>
      </w:r>
    </w:p>
    <w:p>
      <w:pPr>
        <w:ind w:left="420"/>
      </w:pPr>
      <w:r>
        <w:t xml:space="preserve">1. für die Teilnahme an einer Prüfung, insbesondere an einer Außenprüfung, einer Zollprüfung oder einer Nachschau einschließlich der Schlussbesprechung und der Prüfung des Prüfungsberichts, für die Teilnahme an einer Ermittlung der Besteuerungsgrundlagen (§ 208 der Abgabenordnung) oder für die Teilnahme an einer Maßnahme der Steueraufsicht (§§ 209 bis 217 der Abgabenordnung) die Zeitgebühr;</w:t>
      </w:r>
    </w:p>
    <w:p>
      <w:pPr>
        <w:ind w:left="420"/>
      </w:pPr>
      <w:r>
        <w:t xml:space="preserve">2. für schriftliche Einwendungen gegen den Prüfungsbericht 5 Zehntel bis 10 Zehntel einer vollen Gebühr nach Tabelle A (Anlage 1).</w:t>
      </w:r>
    </w:p>
    <w:p>
      <w:r>
        <w:rPr>
          <w:color w:val="555555"/>
          <w:sz w:val="17"/>
        </w:rPr>
        <w:t xml:space="preserve">Zitiervorschlag: § 29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