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StBGebV — Prüfung von Steuerbescheiden</w:t>
      </w:r>
    </w:p>
    <w:p>
      <w:r>
        <w:rPr>
          <w:color w:val="555555"/>
          <w:sz w:val="18"/>
        </w:rPr>
        <w:t xml:space="preserve">Steuerberatervergütungsverordnung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Prüfung eines Steuerbescheids erhält der Steuerberater die Zeitgebühr.</w:t>
      </w:r>
    </w:p>
    <w:p>
      <w:r>
        <w:rPr>
          <w:color w:val="555555"/>
          <w:sz w:val="17"/>
        </w:rPr>
        <w:t xml:space="preserve">Zitiervorschlag: § 28 StBGebV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https://recht.nulegal.eu/gesetze/StBGebV/28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