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StBGebV — Ermittlung des Überschusses der Einnahmen über die Werbungskosten</w:t>
      </w:r>
    </w:p>
    <w:p>
      <w:r>
        <w:rPr>
          <w:color w:val="555555"/>
          <w:sz w:val="18"/>
        </w:rPr>
        <w:t xml:space="preserve">Steuerberatervergütungsverordnung</w:t>
      </w:r>
    </w:p>
    <w:p>
      <w:r>
        <w:rPr>
          <w:color w:val="555555"/>
          <w:sz w:val="18"/>
        </w:rPr>
        <w:t xml:space="preserve">Stand: 10.06.2019 (konsolidierte Textfassung, kein amtliches Inkrafttretensdatum)</w:t>
      </w:r>
    </w:p>
    <w:p>
      <w:r>
        <w:t xml:space="preserve">(1) Die Gebühr für die Ermittlung des Überschusses der Einnahmen über die Werbungskosten bei den Einkünften aus nichtselbständiger Arbeit, Kapitalvermögen, Vermietung und Verpachtung oder sonstigen Einkünften beträgt 1 Zwanzigstel bis 12 Zwanzigstel einer vollen Gebühr nach Tabelle A (Anlage 1). Gegenstandswert ist der jeweils höhere Betrag, der sich aus der Summe der Einnahmen oder der Summe der Werbungskosten ergibt, jedoch mindestens 8 000 Euro.</w:t>
      </w:r>
    </w:p>
    <w:p>
      <w:r>
        <w:t xml:space="preserve">(2) Beziehen sich die Einkünfte aus Vermietung und Verpachtung auf mehrere Grundstücke oder sonstige Wirtschaftsgüter und ist der Überschuß der Einnahmen über die Werbungskosten jeweils getrennt zu ermitteln, so erhält der Steuerberater die Gebühr nach Absatz 1 für jede Überschußrechnung.</w:t>
      </w:r>
    </w:p>
    <w:p>
      <w:r>
        <w:t xml:space="preserve">(3) Für Vorarbeiten, die über das übliche Maß erheblich hinausgehen, erhält der Steuerberater die Zeitgebühr.</w:t>
      </w:r>
    </w:p>
    <w:p>
      <w:r>
        <w:rPr>
          <w:color w:val="555555"/>
          <w:sz w:val="17"/>
        </w:rPr>
        <w:t xml:space="preserve">Zitiervorschlag: § 27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