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StBGebV — Ermittlung des Gewinns aus Land- und Forstwirtschaft nach Durchschnittsätzen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Gebühr für die Ermittlung des Gewinns nach Durchschnittsätzen beträgt 5 Zehntel bis 20 Zehntel einer vollen Gebühr nach Tabelle B (Anlage 2). Gegenstandswert ist der Durchschnittssatzgewinn nach § 13a Abs. 3 Satz 1 des Einkommensteuergesetzes.</w:t>
      </w:r>
    </w:p>
    <w:p>
      <w:r>
        <w:t xml:space="preserve">(2) Sind für mehrere land- und forstwirtschaftliche Betriebe desselben Auftraggebers die Gewinne nach Durchschnittsätzen getrennt zu ermitteln, so erhält der Steuerberater die Gebühr nach Absatz 1 für jede Gewinnermittlung.</w:t>
      </w:r>
    </w:p>
    <w:p>
      <w:r>
        <w:rPr>
          <w:color w:val="555555"/>
          <w:sz w:val="17"/>
        </w:rPr>
        <w:t xml:space="preserve">Zitiervorschlag: § 26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