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StBGebV — Ermittlung des Überschusses der Betriebseinnahmen über die Betriebsausgaben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Die Gebühr für die Ermittlung des Überschusses der Betriebseinnahmen über die Betriebsausgaben bei den Einkünften aus Land- und Forstwirtschaft, Gewerbebetrieb oder selbständiger Arbeit beträgt 5 bis 30 Zehntel einer vollen Gebühr nach Tabelle B (Anlage 2). Gegenstandswert ist der jeweils höhere Betrag, der sich aus der Summe der Betriebseinnahmen oder der Summe der Betriebsausgaben ergibt, jedoch mindestens 17 500 Euro.</w:t>
      </w:r>
    </w:p>
    <w:p>
      <w:r>
        <w:t xml:space="preserve">(2) Für Vorarbeiten, die über das übliche Maß erheblich hinausgehen, erhält der Steuerberater die Zeitgebühr.</w:t>
      </w:r>
    </w:p>
    <w:p>
      <w:r>
        <w:t xml:space="preserve">(3) Sind bei mehreren Einkünften aus derselben Einkunftsart die Überschüsse getrennt zu ermitteln, so erhält der Steuerberater die Gebühr nach Absatz 1 für jede Überschußrechnung.</w:t>
      </w:r>
    </w:p>
    <w:p>
      <w:r>
        <w:t xml:space="preserve">(4) Für die Aufstellung eines schriftlichen Erläuterungsberichts zur Ermittlung des Überschusses der Betriebseinnahmen über die Betriebsausgaben erhält der Steuerberater 2/10 bis 12/10 einer vollen Gebühr nach Tabelle B (Anlage 2). Der Gegenstandswert bemisst sich nach Absatz 1 Satz 2.</w:t>
      </w:r>
    </w:p>
    <w:p>
      <w:r>
        <w:rPr>
          <w:color w:val="555555"/>
          <w:sz w:val="17"/>
        </w:rPr>
        <w:t xml:space="preserve">Zitiervorschlag: § 25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