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StBGebV — Sonstige Einzeltätigkeiten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Gebühr beträgt für</w:t>
      </w:r>
    </w:p>
    <w:p>
      <w:r>
        <w:rPr>
          <w:rFonts w:ascii="Courier New" w:hAnsi="Courier New"/>
          <w:sz w:val="17"/>
        </w:rPr>
        <w:t xml:space="preserve">1.    die Berichtigung einer Erklärung    2/10 bis 10/10</w:t>
      </w:r>
    </w:p>
    <w:p>
      <w:r>
        <w:rPr>
          <w:rFonts w:ascii="Courier New" w:hAnsi="Courier New"/>
          <w:sz w:val="17"/>
        </w:rPr>
        <w:t xml:space="preserve">2.    einen Antrag auf Stundung    2/10 bis 8/10</w:t>
      </w:r>
    </w:p>
    <w:p>
      <w:r>
        <w:rPr>
          <w:rFonts w:ascii="Courier New" w:hAnsi="Courier New"/>
          <w:sz w:val="17"/>
        </w:rPr>
        <w:t xml:space="preserve">3.    einen Antrag auf Anpassung der Vorauszahlungen    2/10 bis 8/10</w:t>
      </w:r>
    </w:p>
    <w:p>
      <w:r>
        <w:rPr>
          <w:rFonts w:ascii="Courier New" w:hAnsi="Courier New"/>
          <w:sz w:val="17"/>
        </w:rPr>
        <w:t xml:space="preserve">4.    einen Antrag auf abweichende Steuerfestsetzung aus Billigkeitsgründen    2/10 bis 8/10</w:t>
      </w:r>
    </w:p>
    <w:p>
      <w:r>
        <w:rPr>
          <w:rFonts w:ascii="Courier New" w:hAnsi="Courier New"/>
          <w:sz w:val="17"/>
        </w:rPr>
        <w:t xml:space="preserve">5.    einen Antrag auf Erlaß von Ansprüchen aus dem Steuerschuldverhältnis oder aus zollrechtlichen Bestimmungen    2/10 bis 8/10</w:t>
      </w:r>
    </w:p>
    <w:p>
      <w:r>
        <w:rPr>
          <w:rFonts w:ascii="Courier New" w:hAnsi="Courier New"/>
          <w:sz w:val="17"/>
        </w:rPr>
        <w:t xml:space="preserve">6.    einen Antrag auf Erstattung (§ 37 Abs. 2 der Abgabenordnung)    2/10 bis 8/10</w:t>
      </w:r>
    </w:p>
    <w:p>
      <w:r>
        <w:rPr>
          <w:rFonts w:ascii="Courier New" w:hAnsi="Courier New"/>
          <w:sz w:val="17"/>
        </w:rPr>
        <w:t xml:space="preserve">7.    einen Antrag auf Aufhebung oder Änderung eines Steuerbescheides oder einer Steueranmeldung    2/10 bis 10/10</w:t>
      </w:r>
    </w:p>
    <w:p>
      <w:r>
        <w:rPr>
          <w:rFonts w:ascii="Courier New" w:hAnsi="Courier New"/>
          <w:sz w:val="17"/>
        </w:rPr>
        <w:t xml:space="preserve">8.    einen Antrag auf volle oder teilweise Rücknahme oder auf vollen oder teilweisen Widerruf eines Verwaltungsaktes    4/10 bis 10/10</w:t>
      </w:r>
    </w:p>
    <w:p>
      <w:r>
        <w:rPr>
          <w:rFonts w:ascii="Courier New" w:hAnsi="Courier New"/>
          <w:sz w:val="17"/>
        </w:rPr>
        <w:t xml:space="preserve">9.    einen Antrag auf Wiedereinsetzung in den vorigen Stand außerhalb eines Rechtsbehelfsverfahrens    4/10 bis 10/10</w:t>
      </w:r>
    </w:p>
    <w:p>
      <w:r>
        <w:rPr>
          <w:rFonts w:ascii="Courier New" w:hAnsi="Courier New"/>
          <w:sz w:val="17"/>
        </w:rPr>
        <w:t xml:space="preserve">10.    sonstige Anträge, soweit sie nicht in Steuererklärungen gestellt werden    2/10 bis 10/10</w:t>
      </w:r>
    </w:p>
    <w:p>
      <w:r>
        <w:t xml:space="preserve">einer vollen Gebühr nach Tabelle A (Anlage 1). Soweit Tätigkeiten nach den Nummern 1 bis 10 denselben Gegenstand betreffen, ist nur eine Tätigkeit maßgebend, und zwar die mit dem höchsten oberen Gebührenrahmen.</w:t>
      </w:r>
    </w:p>
    <w:p>
      <w:r>
        <w:t xml:space="preserve">(2) Für eine Mitteilung nach § 146a Absatz 4 der Abgabenordnung erhält der Steuerberater für das erste elektronische Aufzeichnungssystem einer Betriebsstätte 10 bis 30 Euro. Für jedes weitere elektronische Aufzeichnungssystem derselben Betriebsstätte erhält der Steuerberater 5 bis 20 Euro. Sofern mit der Mitteilung nach § 146a Absatz 4 der Abgabenordnung lediglich ein oder mehrere elektronische Aufzeichnungssysteme oder eine oder mehrere Betriebsstätten abgemeldet werden, erhält der Steuerberater hierfür nur eine Gebühr nach Satz 1 unabhängig davon, wie viele elektronische Aufzeichnungssysteme oder Betriebsstätten abgemeldet werden.</w:t>
      </w:r>
    </w:p>
    <w:p>
      <w:r>
        <w:rPr>
          <w:color w:val="555555"/>
          <w:sz w:val="17"/>
        </w:rPr>
        <w:t xml:space="preserve">Zitiervorschlag: § 23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