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StBGebV — Gutachten und Antrag auf verbindliche Auskunft</w:t>
      </w:r>
    </w:p>
    <w:p>
      <w:r>
        <w:rPr>
          <w:color w:val="555555"/>
          <w:sz w:val="18"/>
        </w:rPr>
        <w:t xml:space="preserve">Steuerberatervergütungsverordnung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Für die Ausarbeitung eines schriftlichen Gutachtens mit eingehender Begründung erhält der Steuerberater eine Gebühr von 10/10 bis 30/10 der vollen Gebühr nach Tabelle A (Anlage 1). Satz 1 gilt für einen Antrag auf verbindliche Auskunft entsprechend.</w:t>
      </w:r>
    </w:p>
    <w:p>
      <w:r>
        <w:t xml:space="preserve">(2) Betreffen die Tätigkeiten nach Absatz 1 denselben Gegenstand, ist nur eine Tätigkeit maßgebend.</w:t>
      </w:r>
    </w:p>
    <w:p>
      <w:r>
        <w:rPr>
          <w:color w:val="555555"/>
          <w:sz w:val="17"/>
        </w:rPr>
        <w:t xml:space="preserve">Zitiervorschlag: § 22 StBGebV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https://recht.nulegal.eu/gesetze/StBGebV/22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