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StBGebV — Rat, Auskunft, Erstberatung</w:t>
      </w:r>
    </w:p>
    <w:p>
      <w:r>
        <w:rPr>
          <w:color w:val="555555"/>
          <w:sz w:val="18"/>
        </w:rPr>
        <w:t xml:space="preserve">Steuerberatervergütungsverordnung</w:t>
      </w:r>
    </w:p>
    <w:p>
      <w:r>
        <w:rPr>
          <w:color w:val="555555"/>
          <w:sz w:val="18"/>
        </w:rPr>
        <w:t xml:space="preserve">Stand: 01.08.2022 (konsolidierte Textfassung, kein amtliches Inkrafttretensdatum)</w:t>
      </w:r>
    </w:p>
    <w:p>
      <w:r>
        <w:t xml:space="preserve">(1) Für einen mündlichen oder schriftlichen Rat oder eine Auskunft, die nicht mit einer anderen gebührenpflichtigen Tätigkeit zusammenhängt, erhält der Steuerberater eine Gebühr in Höhe von 1 Zehntel bis 10 Zehntel der vollen Gebühr nach Tabelle A (Anlage 1). Beschränkt sich die Tätigkeit nach Satz 1 auf ein erstes Beratungsgespräch und ist der Auftraggeber Verbraucher, so kann der Steuerberater, der erstmals von diesem Ratsuchenden in Anspruch genommen wird, keine höhere Gebühr als 190 Euro fordern. Die Gebühr ist auf eine Gebühr anzurechnen, die der Steuerberater für eine sonstige Tätigkeit erhält, die mit der Raterteilung oder Auskunft zusammenhängt.</w:t>
      </w:r>
    </w:p>
    <w:p>
      <w:r>
        <w:t xml:space="preserve">(2) Wird ein Steuerberater mit der Prüfung der Erfolgsaussicht eines Rechtsmittels beauftragt, so ist für die Vergütung das Rechtsanwaltsvergütungsgesetz sinngemäß anzuwenden. Die Gebühren bestimmen sich nach Teil 2 Abschnitt 1 des Vergütungsverzeichnisses zum Rechtsanwaltsvergütungsgesetz.</w:t>
      </w:r>
    </w:p>
    <w:p>
      <w:r>
        <w:rPr>
          <w:color w:val="555555"/>
          <w:sz w:val="17"/>
        </w:rPr>
        <w:t xml:space="preserve">Zitiervorschlag: § 21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