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StBGebV — Zeitgebühr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Die Zeitgebühr ist zu berechnen</w:t>
      </w:r>
    </w:p>
    <w:p>
      <w:pPr>
        <w:ind w:left="420"/>
      </w:pPr>
      <w:r>
        <w:t xml:space="preserve">1. in den Fällen, in denen diese Verordnung dies vorsieht,</w:t>
      </w:r>
    </w:p>
    <w:p>
      <w:pPr>
        <w:ind w:left="420"/>
      </w:pPr>
      <w:r>
        <w:t xml:space="preserve">2. wenn keine genügenden Anhaltspunkte für eine Schätzung des Gegenstandswerts vorliegen; dies gilt nicht für Tätigkeiten nach § 23.</w:t>
      </w:r>
    </w:p>
    <w:p>
      <w:r>
        <w:t xml:space="preserve">Sie beträgt 16,50 bis 41 Euro je angefangene viertel Stunde.</w:t>
      </w:r>
    </w:p>
    <w:p>
      <w:r>
        <w:rPr>
          <w:color w:val="555555"/>
          <w:sz w:val="17"/>
        </w:rPr>
        <w:t xml:space="preserve">Zitiervorschlag: § 13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