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StBGebV — Rahmengebühren</w:t>
      </w:r>
    </w:p>
    <w:p>
      <w:r>
        <w:rPr>
          <w:color w:val="555555"/>
          <w:sz w:val="18"/>
        </w:rPr>
        <w:t xml:space="preserve">Steuerberatervergütungsverordnung</w:t>
      </w:r>
    </w:p>
    <w:p>
      <w:r>
        <w:rPr>
          <w:color w:val="555555"/>
          <w:sz w:val="18"/>
        </w:rPr>
        <w:t xml:space="preserve">Stand: 10.06.2019 (konsolidierte Textfassung, kein amtliches Inkrafttretensdatum)</w:t>
      </w:r>
    </w:p>
    <w:p>
      <w:r>
        <w:t xml:space="preserve">Ist für die Gebühren ein Rahmen vorgesehen, so bestimmt der Steuerberater die Gebühr im Einzelfall unter Berücksichtigung aller Umstände, vor allem des Umfangs und der Schwierigkeit der beruflichen Tätigkeit, der Bedeutung der Angelegenheit sowie der Einkommens- und Vermögensverhältnisse des Auftraggebers, nach billigem Ermessen. Ein besonderes Haftungsrisiko des Steuerberaters kann bei der Bemessung herangezogen werden. Bei Rahmengebühren, die sich nicht nach dem Gegenstandswert richten, ist das Haftungsrisiko zu berücksichtigen. Ist die Gebühr von einem Dritten zu ersetzen, ist die von dem Steuerberater getroffene Bestimmung nicht verbindlich, wenn sie unbillig ist.</w:t>
      </w:r>
    </w:p>
    <w:p>
      <w:r>
        <w:rPr>
          <w:color w:val="555555"/>
          <w:sz w:val="17"/>
        </w:rPr>
        <w:t xml:space="preserve">Zitiervorschlag: § 11 StBGebV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https://recht.nulegal.eu/gesetze/StBGebV/11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