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StBGebV — Wertgebühren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Wertgebühren bestimmen sich nach den dieser Verordnung als Anlage beigefügten Tabellen A bis D. Sie werden nach dem Wert berechnet, den der Gegenstand der beruflichen Tätigkeit hat. Maßgebend ist, soweit diese Verordnung nichts anderes bestimmt, der Wert des Interesses.</w:t>
      </w:r>
    </w:p>
    <w:p>
      <w:r>
        <w:t xml:space="preserve">(2) In derselben Angelegenheit werden die Werte mehrerer Gegenstände zusammengerechnet; dies gilt nicht für die in den §§ 24 bis 27, 30, 35 und 37 bezeichneten Tätigkeiten.</w:t>
      </w:r>
    </w:p>
    <w:p>
      <w:r>
        <w:rPr>
          <w:color w:val="555555"/>
          <w:sz w:val="17"/>
        </w:rPr>
        <w:t xml:space="preserve">Zitiervorschlag: § 10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