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StBDV</w:t>
      </w:r>
    </w:p>
    <w:p>
      <w:r>
        <w:rPr>
          <w:color w:val="555555"/>
          <w:sz w:val="18"/>
        </w:rPr>
        <w:t xml:space="preserve">Verordnung zur Durchführung der Vorschriften über Steuerberater, Steuerbevollmächtigte und Berufsausübungsgesellschaften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158 des Steuerberatungsgesetzes in der Fassung der Bekanntmachung vom 4. November 1975 (BGBl. I S. 2735) verordnet die Bundesregierung nach Anhören der Bundessteuerberaterkammer mit Zustimmung des Bundesrates:</w:t>
      </w:r>
    </w:p>
    <w:p>
      <w:r>
        <w:rPr>
          <w:color w:val="555555"/>
          <w:sz w:val="17"/>
        </w:rPr>
        <w:t xml:space="preserve">Zitiervorschlag: Eingangsformel StBDV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