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StBDV — Antrag auf Erteilung einer verbindlichen Auskunft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Erteilung einer verbindlichen Auskunft ist nach amtlich vorgeschriebenem Vordruck zu stellen.</w:t>
      </w:r>
    </w:p>
    <w:p>
      <w:r>
        <w:t xml:space="preserve">(2) Die verbindliche Auskunft bedarf der Schriftform. In die Auskunft ist ein Hinweis auf die mögliche Rechtsfolge nach Absatz 4 aufzunehmen.</w:t>
      </w:r>
    </w:p>
    <w:p>
      <w:r>
        <w:t xml:space="preserve">(3) Betrifft die Auskunft eine noch nicht erfüllte Voraussetzung, so ist sie nur dann verbindlich, wenn sich der später verwirklichte Sachverhalt mit dem der Auskunft zugrunde gelegten deckt.</w:t>
      </w:r>
    </w:p>
    <w:p>
      <w:r>
        <w:t xml:space="preserve">(4) Die Auskunft verliert ihre Verbindlichkeit, wenn die Rechtsvorschriften, auf denen sie beruht, geändert werden.</w:t>
      </w:r>
    </w:p>
    <w:p>
      <w:r>
        <w:t xml:space="preserve">(5) Für das Verfahren sind die §§ 1, 4, 5 und 8 entsprechend anzuwenden.</w:t>
      </w:r>
    </w:p>
    <w:p>
      <w:r>
        <w:rPr>
          <w:color w:val="555555"/>
          <w:sz w:val="17"/>
        </w:rPr>
        <w:t xml:space="preserve">Zitiervorschlag: § 7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