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StBDV — Zulassung zur Prüfung</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Die Zulassung gilt nur für die Teilnahme an der nächsten Prüfung. Für eine spätere Prüfung bedarf es einer erneuten Zulassung.</w:t>
      </w:r>
    </w:p>
    <w:p>
      <w:r>
        <w:t xml:space="preserve">(2) Hat der Bewerber die Zulassungsvoraussetzung einer mehrjährigen praktischen Tätigkeit auf dem Gebiet der von den Bundes- oder Landesfinanzbehörden verwalteten Steuern im Zeitpunkt der Entscheidung noch nicht voll erfüllt, so kann die Zulassung unter der Bedingung ausgesprochen werden, daß der Bewerber diese Zulassungsvoraussetzung spätestens bei Beginn der schriftlichen Prüfung erfüllt hat. Der Nachweis ist bis zu dem von der zuständigen Steuerberaterkammer zu bestimmenden Zeitpunkt zu erbringen.</w:t>
      </w:r>
    </w:p>
    <w:p>
      <w:r>
        <w:rPr>
          <w:color w:val="555555"/>
          <w:sz w:val="17"/>
        </w:rPr>
        <w:t xml:space="preserve">Zitiervorschlag: § 6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