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StBDV — Anzeigepflichten</w:t>
      </w:r>
    </w:p>
    <w:p>
      <w:r>
        <w:rPr>
          <w:color w:val="555555"/>
          <w:sz w:val="18"/>
        </w:rPr>
        <w:t xml:space="preserve">Verordnung zur Durchführung der Vorschriften über Steuerberater, Steuerbevollmächtigte und Berufsausübungsgesellschaften</w:t>
      </w:r>
    </w:p>
    <w:p>
      <w:r>
        <w:rPr>
          <w:color w:val="555555"/>
          <w:sz w:val="18"/>
        </w:rPr>
        <w:t xml:space="preserve">Außer Kraft: § 50 ist seit 01.08.2022 nicht mehr im StBDV enthalten. Angezeigt wird die letzte bekannte Fassung, Stand 10.06.2019.</w:t>
      </w:r>
    </w:p>
    <w:p>
      <w:r>
        <w:t xml:space="preserve">(1) Alljährlich im Monat Januar haben die Mitglieder des zur gesetzlichen Vertretung berufenen Organs oder die vertretungsberechtigten Gesellschafter einer Steuerberatungsgesellschaft sowie die Gesellschafter einer Gesellschaft bürgerlichen Rechts im Sinne des § 50a Abs. 2 Satz 1 des Gesetzes eine von ihnen unterschriebene Liste der Gesellschafter, aus welcher Name, Vorname, Beruf, Wohnort und berufliche Niederlassung der Gesellschafter, ihre Aktien, Stammeinlagen oder Beteiligungsverhältnisse zu ersehen sind, bei der zuständigen Steuerberaterkammer einzureichen. Sind seit Einreichung der letzten Liste Veränderungen hinsichtlich der Person oder des Berufs der Gesellschafter und des Umfangs der Beteiligung nicht eingetreten, so genügt die Einreichung einer entsprechenden Erklärung.</w:t>
      </w:r>
    </w:p>
    <w:p>
      <w:r>
        <w:t xml:space="preserve">(2) Absatz 1 gilt entsprechend in den Fällen des § 154 Abs. 2 Satz 1 des Gesetzes.</w:t>
      </w:r>
    </w:p>
    <w:p>
      <w:r>
        <w:rPr>
          <w:color w:val="555555"/>
          <w:sz w:val="17"/>
        </w:rPr>
        <w:t xml:space="preserve">Zitiervorschlag: § 50 StBDV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