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StBDV — Mitteilungspflichten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Außer Kraft: § 48 ist seit 01.08.2022 nicht mehr im StBDV enthalten. Angezeigt wird die letzte bekannte Fassung, Stand 10.06.2019.</w:t>
      </w:r>
    </w:p>
    <w:p>
      <w:r>
        <w:t xml:space="preserve">(1) Die in das Berufsregister einzutragenden Tatsachen sind der zuständigen Steuerberaterkammer mitzuteilen</w:t>
      </w:r>
    </w:p>
    <w:p>
      <w:pPr>
        <w:ind w:left="420"/>
      </w:pPr>
      <w:r>
        <w:t xml:space="preserve">1. in Fällen des § 46 Nr. 1 von dem einzutragenden Steuerberater oder Steuerbevollmächtigten;</w:t>
      </w:r>
    </w:p>
    <w:p>
      <w:pPr>
        <w:ind w:left="420"/>
      </w:pPr>
      <w:r>
        <w:t xml:space="preserve">2. im Falle des § 46 Nr. 2 von den Mitgliedern des zur gesetzlichen Vertretung berufenen Organs oder den vertretungsberechtigten Gesellschaftern der einzutragenden Steuerberatungsgesellschaft;</w:t>
      </w:r>
    </w:p>
    <w:p>
      <w:pPr>
        <w:ind w:left="420"/>
      </w:pPr>
      <w:r>
        <w:t xml:space="preserve">3. im Falle des § 46 Nr. 3 von dem Steuerberater oder Steuerbevollmächtigten, der die weitere Beratungsstelle errichtet hat;</w:t>
      </w:r>
    </w:p>
    <w:p>
      <w:pPr>
        <w:ind w:left="420"/>
      </w:pPr>
      <w:r>
        <w:t xml:space="preserve">4. im Falle des § 46 Nr. 4 von den Mitgliedern des zur gesetzlichen Vertretung berufenen Organs oder den vertretungsberechtigten Gesellschaftern der Steuerberatungsgesellschaft, die die auswärtige Beratungsstelle errichtet hat.</w:t>
      </w:r>
    </w:p>
    <w:p>
      <w:r>
        <w:t xml:space="preserve">(2) Die im Berufsregister zu löschenden Tatsachen sind der zuständigen Steuerberaterkammer mitzuteilen</w:t>
      </w:r>
    </w:p>
    <w:p>
      <w:pPr>
        <w:ind w:left="420"/>
      </w:pPr>
      <w:r>
        <w:t xml:space="preserve">1. im Falle des § 47 Abs. 1 Nr. 1 Buchstabe b von dem Steuerberater oder Steuerbevollmächtigten, der seine berufliche Niederlassung verlegt;</w:t>
      </w:r>
    </w:p>
    <w:p>
      <w:pPr>
        <w:ind w:left="420"/>
      </w:pPr>
      <w:r>
        <w:t xml:space="preserve">2. in den Fällen des § 47 Abs. 1 Nr. 2 Buchstabe b von den Mitgliedern des zur gesetzlichen Vertretung berufenen Organs oder den vertretungsberechtigten Gesellschaftern der Steuerberatungsgesellschaft;</w:t>
      </w:r>
    </w:p>
    <w:p>
      <w:pPr>
        <w:ind w:left="420"/>
      </w:pPr>
      <w:r>
        <w:t xml:space="preserve">3. in den Fällen des § 47 Abs. 1 Nr. 3 von den in Absatz 1 Nr. 3 oder 4 genannten Personen;</w:t>
      </w:r>
    </w:p>
    <w:p>
      <w:pPr>
        <w:ind w:left="420"/>
      </w:pPr>
      <w:r>
        <w:t xml:space="preserve">4. in den Fällen des § 47 Abs. 2 von den Mitgliedern des zur gesetzlichen Vertretung berufenen Organs oder den vertretungsberechtigten Gesellschaftern der Steuerberatungsgesellschaft.</w:t>
      </w:r>
    </w:p>
    <w:p>
      <w:r>
        <w:rPr>
          <w:color w:val="555555"/>
          <w:sz w:val="17"/>
        </w:rPr>
        <w:t xml:space="preserve">Zitiervorschlag: § 48 StBDV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