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StBDV — Registerführende Stelle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Außer Kraft: § 45 ist seit 01.08.2022 nicht mehr im StBDV enthalten. Angezeigt wird die letzte bekannte Fassung, Stand 10.06.2019.</w:t>
      </w:r>
    </w:p>
    <w:p>
      <w:r>
        <w:t xml:space="preserve">(1) Das Berufsregister wird durch die zuständige Steuerberaterkammer geführt. Die Steuerberaterkammern können sich bei der Führung des Berufsregisters einer nach § 84 des Gesetzes gebildeten Arbeitsgemeinschaft bedienen.</w:t>
      </w:r>
    </w:p>
    <w:p>
      <w:r>
        <w:t xml:space="preserve">(2) Alle Eintragungen und Löschungen im Berufsregister sind den Beteiligten mitzuteilen. Die Löschung von Steuerberatungsgesellschaften ist ferner dem zuständigen Registergericht mitzuteilen.</w:t>
      </w:r>
    </w:p>
    <w:p>
      <w:r>
        <w:t xml:space="preserve">(3) Die Einsicht in das Berufsregister ist jedem gestattet, der ein berechtigtes Interesse darlegt.</w:t>
      </w:r>
    </w:p>
    <w:p>
      <w:r>
        <w:rPr>
          <w:color w:val="555555"/>
          <w:sz w:val="17"/>
        </w:rPr>
        <w:t xml:space="preserve">Zitiervorschlag: § 45 StBDV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