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StBDV — Sachkunde-Ausschuss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Die mündliche Prüfung wird vor einem Sachkunde-Ausschuss abgelegt, der bei der Steuerberaterkammer zu bilden ist.</w:t>
      </w:r>
    </w:p>
    <w:p>
      <w:r>
        <w:t xml:space="preserve">(2) Die Prüfung kann auch einem Sachkunde-Ausschuss übertragen werden, der bei einer anderen Steuerberaterkammer besteht. Die mit der Abnahme der mündlichen Prüfung verbundenen Aufgaben werden im Falle der Übertragung nach Satz 1 von der anderen Steuerberaterkammer wahrgenommen. Diese erhält auch die Gebühr nach § 44 Abs. 8 des Steuerberatungsgesetzes.</w:t>
      </w:r>
    </w:p>
    <w:p>
      <w:r>
        <w:t xml:space="preserve">(3) Dem Sachkunde-Ausschuss gehören an</w:t>
      </w:r>
    </w:p>
    <w:p>
      <w:pPr>
        <w:ind w:left="420"/>
      </w:pPr>
      <w:r>
        <w:t xml:space="preserve">1. zwei Vertreter der Steuerberaterkammer, davon einer als Vorsitzender,</w:t>
      </w:r>
    </w:p>
    <w:p>
      <w:pPr>
        <w:ind w:left="420"/>
      </w:pPr>
      <w:r>
        <w:t xml:space="preserve">2. ein Vertreter der für die Landwirtschaft zuständigen obersten Landesbehörde oder einer von ihr benannten Behörde.</w:t>
      </w:r>
    </w:p>
    <w:p>
      <w:r>
        <w:t xml:space="preserve">(4) Die Mitglieder des Sachkunde-Ausschusses und ihre Stellvertreter sind durch die Steuerberaterkammer für drei Jahre zu berufen. § 10 Absatz 3 und die §§ 11 bis 13 Absatz 1 gelten mit Ausnahme des § 11 Absatz 2 Satz 2 entsprechend. Vor der Berufung oder Abberufung eines Vertreters der Landwirtschaft ist die für die Landwirtschaft zuständige oberste Landesbehörde oder die von ihr benannte Behörde zu hören.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43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