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StBDV — Wiederbestellung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31.12.2024 (konsolidierte Textfassung, kein amtliches Inkrafttretensdatum)</w:t>
      </w:r>
    </w:p>
    <w:p>
      <w:r>
        <w:t xml:space="preserve">(1) Über den Antrag auf Wiederbestellung als Steuerberater oder Steuerbevollmächtigter entscheidet die zuständige Steuerberaterkammer.</w:t>
      </w:r>
    </w:p>
    <w:p>
      <w:r>
        <w:t xml:space="preserve">(2) Der Antrag auf Wiederbestellung ist nach amtlich vorgeschriebenem Vordruck zu stellen. § 34 Abs. 3 bis 5 gilt entsprechend.</w:t>
      </w:r>
    </w:p>
    <w:p>
      <w:r>
        <w:t xml:space="preserve">(3) Die bestellende Steuerberaterkammer prüft, ob die Voraussetzungen des § 40 Abs. 2 und 3 des Steuerberatungsgesetzes gegeben sind. Vor der Entscheidung ist die Steuerberaterkammer zu hören, der der Bewerber im Zeitpunkt des Erlöschens oder des Widerrufs der Bestellung angehört hat. § 40 Abs. 4 des Steuerberatungsgesetzes ist sinngemäß anzuwenden.</w:t>
      </w:r>
    </w:p>
    <w:p>
      <w:r>
        <w:t xml:space="preserve">(4) Unter den Voraussetzungen des § 48 des Steuerberatungsgesetzes können auch Personen wiederbestellt werden, die ohne nochmalige Bestellung die Eigenschaft als Steuerberater oder Steuerbevollmächtigter erlangt hatten (§ 154 Abs. 1 und 3 des Steuerberatungsgesetzes in der bis zum 30. Juni 2000 geltenden Fassung).</w:t>
      </w:r>
    </w:p>
    <w:p>
      <w:r>
        <w:rPr>
          <w:color w:val="555555"/>
          <w:sz w:val="17"/>
        </w:rPr>
        <w:t xml:space="preserve">Zitiervorschlag: § 38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