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35 StBDV — Berufsurkunde</w:t>
      </w:r>
    </w:p>
    <w:p>
      <w:r>
        <w:rPr>
          <w:color w:val="555555"/>
          <w:sz w:val="18"/>
        </w:rPr>
        <w:t xml:space="preserve">Verordnung zur Durchführung der Vorschriften über Steuerberater, Steuerbevollmächtigte und Berufsausübungsgesellschaften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Berufsurkunde enthält</w:t>
      </w:r>
    </w:p>
    <w:p>
      <w:pPr>
        <w:ind w:left="420"/>
      </w:pPr>
      <w:r>
        <w:t xml:space="preserve">1. die Bezeichnung der bestellenden Steuerberaterkammer,</w:t>
      </w:r>
    </w:p>
    <w:p>
      <w:pPr>
        <w:ind w:left="420"/>
      </w:pPr>
      <w:r>
        <w:t xml:space="preserve">2. Ort und Datum der Ausstellung,</w:t>
      </w:r>
    </w:p>
    <w:p>
      <w:pPr>
        <w:ind w:left="420"/>
      </w:pPr>
      <w:r>
        <w:t xml:space="preserve">3. Namen, Geburtsort und Geburtsdatum des Bewerbers,</w:t>
      </w:r>
    </w:p>
    <w:p>
      <w:pPr>
        <w:ind w:left="420"/>
      </w:pPr>
      <w:r>
        <w:t xml:space="preserve">4. die Erklärung, daß der Bewerber als Steuerberater oder Steuerbevollmächtigter bestellt wird,</w:t>
      </w:r>
    </w:p>
    <w:p>
      <w:pPr>
        <w:ind w:left="420"/>
      </w:pPr>
      <w:r>
        <w:t xml:space="preserve">5. Dienstsiegel und</w:t>
      </w:r>
    </w:p>
    <w:p>
      <w:pPr>
        <w:ind w:left="420"/>
      </w:pPr>
      <w:r>
        <w:t xml:space="preserve">6. Unterschrift.</w:t>
      </w:r>
    </w:p>
    <w:p>
      <w:r>
        <w:t xml:space="preserve">Weitere Berufsbezeichnungen des Bewerbers sind in die Berufsurkunde nicht aufzunehmen. Akademische Grade oder staatlich verliehene Graduierungen sind nur aufzunehmen, wenn sie nachgewiesen worden sind.</w:t>
      </w:r>
    </w:p>
    <w:p>
      <w:r>
        <w:rPr>
          <w:color w:val="555555"/>
          <w:sz w:val="17"/>
        </w:rPr>
        <w:t xml:space="preserve">Zitiervorschlag: § 35 StBDV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https://recht.nulegal.eu/gesetze/StBDV/35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