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StBDV — Aufbewahrungspflichten</w:t>
      </w:r>
    </w:p>
    <w:p>
      <w:r>
        <w:rPr>
          <w:color w:val="555555"/>
          <w:sz w:val="18"/>
        </w:rPr>
        <w:t xml:space="preserve">Verordnung zur Durchführung der Vorschriften über Steuerberater, Steuerbevollmächtigte und Berufsausübungsgesellschaften</w:t>
      </w:r>
    </w:p>
    <w:p>
      <w:r>
        <w:rPr>
          <w:color w:val="555555"/>
          <w:sz w:val="18"/>
        </w:rPr>
        <w:t xml:space="preserve">Stand: 31.12.2024 (konsolidierte Textfassung, kein amtliches Inkrafttretensdatum)</w:t>
      </w:r>
    </w:p>
    <w:p>
      <w:r>
        <w:t xml:space="preserve">(1) Die Aufsichtsarbeiten sind bei der zuständigen Steuerberaterkammer für die Dauer von mindestens zwei Jahren nach Eintritt der Bestandskraft der Prüfungsentscheidung aufzubewahren. In den Fällen des § 21 Absatz 1 besteht keine Aufbewahrungspflicht.</w:t>
      </w:r>
    </w:p>
    <w:p>
      <w:r>
        <w:t xml:space="preserve">(2) Die Anträge auf Zulassung, auf Befreiung, auf verbindliche Auskunft, die Prüfungsunterlagen der einzelnen Bewerber und die Unterlagen zu den Entscheidungen über die Anträge und Prüfungen sind bei der zuständigen Steuerberaterkammer für die Dauer von mindestens zehn Jahren nach Eintritt der Bestandskraft der Verwaltungsentscheidung aufzubewahren.</w:t>
      </w:r>
    </w:p>
    <w:p>
      <w:r>
        <w:t xml:space="preserve">(3) Ein Nachweis über das Bestehen oder über die Befreiung von der Prüfung ist bei der zuständigen Steuerberaterkammer für die Dauer von mindestens 50 Jahren nach Eintritt der Bestandskraft der Verwaltungsentscheidung aufzubewahren.</w:t>
      </w:r>
    </w:p>
    <w:p>
      <w:r>
        <w:t xml:space="preserve">(4) Die in den Absätzen 1 bis 3 genannten Dokumente können auch elektronisch aufbewahrt werden.</w:t>
      </w:r>
    </w:p>
    <w:p>
      <w:r>
        <w:rPr>
          <w:color w:val="555555"/>
          <w:sz w:val="17"/>
        </w:rPr>
        <w:t xml:space="preserve">Zitiervorschlag: § 32 StBDV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https://recht.nulegal.eu/gesetze/StBDV/32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