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StBDV — Niederschrift über die mündliche Prüfung</w:t>
      </w:r>
    </w:p>
    <w:p>
      <w:r>
        <w:rPr>
          <w:color w:val="555555"/>
          <w:sz w:val="18"/>
        </w:rPr>
        <w:t xml:space="preserve">Verordnung zur Durchführung der Vorschriften über Steuerberater, Steuerbevollmächtigte und Berufsausübungsgesellschaften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Über die Prüfung ist eine Niederschrift zu fertigen. Aus ihr müssen ersichtlich sein</w:t>
      </w:r>
    </w:p>
    <w:p>
      <w:pPr>
        <w:ind w:left="420"/>
      </w:pPr>
      <w:r>
        <w:t xml:space="preserve">1. die Namen der anwesenden Personen,</w:t>
      </w:r>
    </w:p>
    <w:p>
      <w:pPr>
        <w:ind w:left="420"/>
      </w:pPr>
      <w:r>
        <w:t xml:space="preserve">2. für jeden Bewerber die Bewertung des Vortrags und jedes Prüfungsabschnitts,</w:t>
      </w:r>
    </w:p>
    <w:p>
      <w:pPr>
        <w:ind w:left="420"/>
      </w:pPr>
      <w:r>
        <w:t xml:space="preserve">3. das Ergebnis der Prüfung und seine Bekanntgabe an die Bewerber,</w:t>
      </w:r>
    </w:p>
    <w:p>
      <w:pPr>
        <w:ind w:left="420"/>
      </w:pPr>
      <w:r>
        <w:t xml:space="preserve">4. ein Begehren nach § 28 Abs. 2 und die Behandlung des Begehrens durch den Prüfungsausschuss,</w:t>
      </w:r>
    </w:p>
    <w:p>
      <w:pPr>
        <w:ind w:left="420"/>
      </w:pPr>
      <w:r>
        <w:t xml:space="preserve">5. besondere Vorkommnisse.</w:t>
      </w:r>
    </w:p>
    <w:p>
      <w:r>
        <w:t xml:space="preserve">(2) Ein Auszug aus der Niederschrift ist zu den Akten des Bewerbers zu nehmen.</w:t>
      </w:r>
    </w:p>
    <w:p>
      <w:r>
        <w:rPr>
          <w:color w:val="555555"/>
          <w:sz w:val="17"/>
        </w:rPr>
        <w:t xml:space="preserve">Zitiervorschlag: § 31 StBDV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https://recht.nulegal.eu/gesetze/StBDV/31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