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StBDV — Überdenken der Prüfungsbewertung</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Die Prüfer sind verpflichtet, ihre Bewertung der Prüfungsleistungen zu überdenken, wenn dies von einem Bewerber, der die Prüfung nicht bestanden hat, mit begründeten Einwendungen bei der zuständigen Steuerberaterkammer schriftlich beantragt wird und die Entscheidung über das Ergebnis der Prüfung noch nicht bestandskräftig ist. Die Frist zur Erhebung einer Anfechtungsklage nach § 47 der Finanzgerichtsordnung wird dadurch nicht berührt.</w:t>
      </w:r>
    </w:p>
    <w:p>
      <w:r>
        <w:t xml:space="preserve">(2) Das Ergebnis des Überdenkens teilt die zuständige Steuerberaterkammer dem Antragsteller schriftlich mit.</w:t>
      </w:r>
    </w:p>
    <w:p>
      <w:r>
        <w:rPr>
          <w:color w:val="555555"/>
          <w:sz w:val="17"/>
        </w:rPr>
        <w:t xml:space="preserve">Zitiervorschlag: § 29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