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27 StBDV — Bewertung der mündlichen Prüfung</w:t>
      </w:r>
    </w:p>
    <w:p>
      <w:r>
        <w:rPr>
          <w:color w:val="555555"/>
          <w:sz w:val="18"/>
        </w:rPr>
        <w:t xml:space="preserve">Verordnung zur Durchführung der Vorschriften über Steuerberater, Steuerbevollmächtigte und Berufsausübungsgesellschaften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In der mündlichen Prüfung werden der Vortrag und jeder Prüfungsabschnitt gesondert bewertet.</w:t>
      </w:r>
    </w:p>
    <w:p>
      <w:r>
        <w:t xml:space="preserve">(2) Die Noten werden vom Prüfungsausschuß festgesetzt.</w:t>
      </w:r>
    </w:p>
    <w:p>
      <w:r>
        <w:t xml:space="preserve">(3) Für die mündliche Prüfung wird eine Gesamtnote gebildet.</w:t>
      </w:r>
    </w:p>
    <w:p>
      <w:r>
        <w:rPr>
          <w:color w:val="555555"/>
          <w:sz w:val="17"/>
        </w:rPr>
        <w:t xml:space="preserve">Zitiervorschlag: § 27 StBDV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https://recht.nulegal.eu/gesetze/StBDV/27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