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StBDV — Mündliche Prüfung</w:t>
      </w:r>
    </w:p>
    <w:p>
      <w:r>
        <w:rPr>
          <w:color w:val="555555"/>
          <w:sz w:val="18"/>
        </w:rPr>
        <w:t xml:space="preserve">Verordnung zur Durchführung der Vorschriften über Steuerberater, Steuerbevollmächtigte und Berufsausübungsgesellschaften</w:t>
      </w:r>
    </w:p>
    <w:p>
      <w:r>
        <w:rPr>
          <w:color w:val="555555"/>
          <w:sz w:val="18"/>
        </w:rPr>
        <w:t xml:space="preserve">Stand: 01.07.2025 (konsolidierte Textfassung, kein amtliches Inkrafttretensdatum)</w:t>
      </w:r>
    </w:p>
    <w:p>
      <w:r>
        <w:t xml:space="preserve">(1) Die zuständige Steuerberaterkammer hat die Bewerber, die an der mündlichen Prüfung teilnehmen, hierzu spätestens zwei Wochen vorher zu laden. Mit der Ladung sind die Einzelnoten der Aufsichtsarbeiten und die Gesamtnote für die schriftliche Prüfung mitzuteilen. § 18 Absatz 3 findet entsprechende Anwendung.</w:t>
      </w:r>
    </w:p>
    <w:p>
      <w:r>
        <w:t xml:space="preserve">(2) Der Vorsitzende des Prüfungsausschusses leitet die mündliche Prüfung. Er ist berechtigt, jederzeit in die Prüfung einzugreifen.</w:t>
      </w:r>
    </w:p>
    <w:p>
      <w:r>
        <w:t xml:space="preserve">(3) Die mündliche Prüfung besteht aus einem kurzen Vortrag des Bewerbers über einen Gegenstand der in § 37 Abs. 3 des Steuerberatungsgesetzes genannten Prüfungsgebiete und aus sechs Prüfungsabschnitten. In den Prüfungsabschnitten sind an den Bewerber Fragen aus den Prüfungsgebieten zu stellen. Prüfungsabschnitt ist jeweils die gesamte Prüfungstätigkeit eines Mitglieds des Prüfungsausschusses während der mündlichen Prüfung.</w:t>
      </w:r>
    </w:p>
    <w:p>
      <w:r>
        <w:t xml:space="preserve">(4) In der Steuerberaterprüfung in verkürzter Form (§ 37a Abs. 1 des Steuerberatungsgesetzess) sind der Gegenstand des Vortrags und die Fragen an die Bewerber den in § 37 Abs. 3 Nr. 1 bis 4 und 8 des Steuerberatungsgesetzes genannten Prüfungsgebieten zu entnehmen.</w:t>
      </w:r>
    </w:p>
    <w:p>
      <w:r>
        <w:t xml:space="preserve">(5) In der Eignungsprüfung (§ 37a Abs. 2 des Steuerberatungsgesetzes) sind der Gegenstand des Vortrags und die Fragen an den Bewerber den in § 37 Abs. 3 des Steuerberatungsgesetzes genannten Prüfungsgebieten zu entnehmen, soweit sie nicht gemäß § 37a Abs. 4 Satz 4 des Steuerberatungsgesetzes entfallen.</w:t>
      </w:r>
    </w:p>
    <w:p>
      <w:r>
        <w:t xml:space="preserve">(6) Für den Vortrag über den Fachgegenstand werden dem Bewerber eine halbe Stunde vor Beginn der Prüfung drei Themen zur Wahl gestellt.</w:t>
      </w:r>
    </w:p>
    <w:p>
      <w:r>
        <w:t xml:space="preserve">(7) Die auf jeden Bewerber entfallende Prüfungszeit soll neunzig Minuten nicht überschreiten.</w:t>
      </w:r>
    </w:p>
    <w:p>
      <w:r>
        <w:t xml:space="preserve">(8) Einwendungen gegen den Ablauf der Vorbereitung auf den Vortrag oder der mündlichen Prüfung wegen Störungen, die durch äußere Einwirkungen verursacht worden sind, sind unverzüglich, spätestens bis zum Ende der mündlichen Prüfung, durch Erklärung gegenüber dem Aufsichtführenden oder dem Vorsitzenden des Prüfungsausschusses geltend zu machen. § 23 ist auf die mündliche Prüfung entsprechend anzuwenden.</w:t>
      </w:r>
    </w:p>
    <w:p>
      <w:r>
        <w:rPr>
          <w:color w:val="555555"/>
          <w:sz w:val="17"/>
        </w:rPr>
        <w:t xml:space="preserve">Zitiervorschlag: § 26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